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cs="Arial"/>
          <w:b/>
          <w:b/>
          <w:bCs/>
          <w:i w:val="false"/>
          <w:i w:val="false"/>
          <w:iCs w:val="false"/>
          <w:color w:val="000000"/>
        </w:rPr>
      </w:pPr>
      <w:r>
        <w:rPr>
          <w:rFonts w:cs="Arial"/>
          <w:b/>
          <w:bCs/>
          <w:i w:val="false"/>
          <w:iCs w:val="false"/>
          <w:color w:val="000000"/>
        </w:rPr>
      </w:r>
    </w:p>
    <w:p>
      <w:pPr>
        <w:pStyle w:val="Normal"/>
        <w:spacing w:lineRule="auto" w:line="276"/>
        <w:jc w:val="center"/>
        <w:rPr/>
      </w:pPr>
      <w:r>
        <w:rPr>
          <w:rFonts w:cs="Arial" w:ascii="Carlito" w:hAnsi="Carlito"/>
          <w:b/>
          <w:bCs/>
          <w:color w:val="000000"/>
          <w:sz w:val="24"/>
          <w:szCs w:val="24"/>
        </w:rPr>
        <w:t>AVISO DE DISPENSA Nº 0</w:t>
      </w:r>
      <w:r>
        <w:rPr>
          <w:rFonts w:eastAsia="Times New Roman" w:cs="Arial" w:ascii="Carlito" w:hAnsi="Carlito"/>
          <w:b/>
          <w:bCs/>
          <w:color w:val="000000"/>
          <w:kern w:val="0"/>
          <w:sz w:val="24"/>
          <w:szCs w:val="24"/>
          <w:lang w:val="pt-BR" w:eastAsia="pt-BR" w:bidi="ar-SA"/>
        </w:rPr>
        <w:t>8</w:t>
      </w:r>
      <w:r>
        <w:rPr>
          <w:rFonts w:eastAsia="Times New Roman" w:cs="Arial" w:ascii="Carlito" w:hAnsi="Carlito"/>
          <w:b/>
          <w:bCs/>
          <w:color w:val="000000"/>
          <w:kern w:val="0"/>
          <w:sz w:val="24"/>
          <w:szCs w:val="24"/>
          <w:lang w:val="pt-BR" w:eastAsia="pt-BR" w:bidi="ar-SA"/>
        </w:rPr>
        <w:t>6</w:t>
      </w:r>
      <w:r>
        <w:rPr>
          <w:rFonts w:cs="Arial" w:ascii="Carlito" w:hAnsi="Carlito"/>
          <w:b/>
          <w:bCs/>
          <w:color w:val="000000"/>
          <w:sz w:val="24"/>
          <w:szCs w:val="24"/>
        </w:rPr>
        <w:t>/2023</w:t>
      </w:r>
    </w:p>
    <w:p>
      <w:pPr>
        <w:pStyle w:val="Normal"/>
        <w:spacing w:lineRule="auto" w:line="276"/>
        <w:jc w:val="center"/>
        <w:rPr/>
      </w:pPr>
      <w:r>
        <w:rPr>
          <w:rFonts w:cs="Arial" w:ascii="Carlito" w:hAnsi="Carlito"/>
          <w:b/>
          <w:bCs/>
          <w:color w:val="000000"/>
          <w:sz w:val="24"/>
          <w:szCs w:val="24"/>
        </w:rPr>
        <w:t>(Processo Administrativo n.°</w:t>
      </w:r>
      <w:r>
        <w:rPr>
          <w:rStyle w:val="Nfaseforte"/>
          <w:rFonts w:eastAsia="Times New Roman" w:cs="Arial" w:ascii="Carlito" w:hAnsi="Carlito"/>
          <w:i w:val="false"/>
          <w:iCs w:val="false"/>
          <w:color w:val="000000"/>
          <w:kern w:val="0"/>
          <w:sz w:val="24"/>
          <w:szCs w:val="24"/>
          <w:lang w:val="pt-BR" w:eastAsia="pt-BR" w:bidi="ar-SA"/>
        </w:rPr>
        <w:t>63430.001863/2023-59</w:t>
      </w:r>
      <w:r>
        <w:rPr>
          <w:rFonts w:eastAsia="Times New Roman" w:cs="Arial" w:ascii="Carlito" w:hAnsi="Carlito"/>
          <w:b/>
          <w:bCs/>
          <w:color w:val="000000"/>
          <w:kern w:val="0"/>
          <w:sz w:val="24"/>
          <w:szCs w:val="24"/>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Aquisição de material para manutenção e conservação das instalações do Batalhão </w:t>
      </w:r>
      <w:r>
        <w:rPr>
          <w:rFonts w:cs="Arial" w:ascii="Carlito" w:hAnsi="Carlito"/>
          <w:b/>
          <w:bCs w:val="false"/>
          <w:i w:val="false"/>
          <w:iCs/>
          <w:strike w:val="false"/>
          <w:dstrike w:val="false"/>
          <w:outline w:val="false"/>
          <w:shadow w:val="false"/>
          <w:color w:val="000000"/>
          <w:sz w:val="24"/>
          <w:szCs w:val="24"/>
          <w:u w:val="none"/>
          <w:em w:val="none"/>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480" w:type="dxa"/>
        <w:jc w:val="left"/>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83" w:type="dxa"/>
          <w:bottom w:w="0" w:type="dxa"/>
          <w:right w:w="108" w:type="dxa"/>
        </w:tblCellMar>
        <w:tblLook w:noVBand="1" w:val="04a0" w:noHBand="0" w:lastColumn="0" w:firstColumn="1" w:lastRow="0" w:firstRow="1"/>
      </w:tblPr>
      <w:tblGrid>
        <w:gridCol w:w="673"/>
        <w:gridCol w:w="1530"/>
        <w:gridCol w:w="857"/>
        <w:gridCol w:w="1185"/>
        <w:gridCol w:w="975"/>
        <w:gridCol w:w="794"/>
        <w:gridCol w:w="1020"/>
        <w:gridCol w:w="1305"/>
        <w:gridCol w:w="1125"/>
        <w:gridCol w:w="1015"/>
      </w:tblGrid>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4"/>
                <w:szCs w:val="14"/>
              </w:rPr>
              <w:t>ITEM</w:t>
            </w:r>
          </w:p>
          <w:p>
            <w:pPr>
              <w:pStyle w:val="Normal"/>
              <w:widowControl w:val="false"/>
              <w:suppressAutoHyphens w:val="true"/>
              <w:spacing w:lineRule="auto" w:line="276" w:before="0" w:after="0"/>
              <w:jc w:val="center"/>
              <w:rPr>
                <w:rFonts w:ascii="Carlito" w:hAnsi="Carlito" w:cs="Arial"/>
                <w:b/>
                <w:b/>
                <w:color w:val="000000"/>
                <w:sz w:val="14"/>
                <w:szCs w:val="14"/>
              </w:rPr>
            </w:pPr>
            <w:r>
              <w:rPr>
                <w:rFonts w:cs="Arial" w:ascii="Carlito" w:hAnsi="Carlito"/>
                <w:b/>
                <w:color w:val="000000"/>
                <w:sz w:val="14"/>
                <w:szCs w:val="14"/>
              </w:rPr>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4"/>
                <w:szCs w:val="14"/>
              </w:rPr>
              <w:t>ESPECIFICAÇÃO</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b/>
                <w:b/>
                <w:bCs/>
              </w:rPr>
            </w:pPr>
            <w:r>
              <w:rPr>
                <w:b/>
                <w:bCs/>
                <w:sz w:val="14"/>
                <w:szCs w:val="14"/>
              </w:rPr>
              <w:t>PDM</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4"/>
                <w:szCs w:val="14"/>
              </w:rPr>
              <w:t>CATMAT/</w:t>
            </w:r>
            <w:r>
              <w:rPr>
                <w:rFonts w:cs="Arial" w:ascii="Carlito" w:hAnsi="Carlito"/>
                <w:b/>
                <w:bCs/>
                <w:i w:val="false"/>
                <w:iCs w:val="false"/>
                <w:color w:val="000000"/>
                <w:sz w:val="14"/>
                <w:szCs w:val="14"/>
              </w:rPr>
              <w:t>CATSER</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14"/>
                <w:szCs w:val="14"/>
              </w:rPr>
              <w:t>UNIDADE DE MEDIDA</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14"/>
                <w:szCs w:val="14"/>
              </w:rPr>
              <w:t>QUANT</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14"/>
                <w:szCs w:val="14"/>
              </w:rPr>
              <w:t>VALOR UNITÁRIO</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14"/>
                <w:szCs w:val="14"/>
              </w:rPr>
              <w:t>VALOR TOTAL</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14"/>
                <w:szCs w:val="14"/>
              </w:rPr>
              <w:t>LOCAL DE ENTREGA</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14"/>
                <w:szCs w:val="14"/>
              </w:rPr>
              <w:t>PRAZO DE ENTREGA</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1</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Tinta branca</w:t>
            </w:r>
          </w:p>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Especificações:</w:t>
            </w:r>
          </w:p>
          <w:p>
            <w:pPr>
              <w:pStyle w:val="Corpodetexto"/>
              <w:spacing w:before="0" w:after="140"/>
              <w:rPr>
                <w:rFonts w:ascii="Carlito" w:hAnsi="Carlito"/>
                <w:sz w:val="16"/>
                <w:szCs w:val="16"/>
              </w:rPr>
            </w:pPr>
            <w:r>
              <w:rPr>
                <w:rFonts w:ascii="Carlito" w:hAnsi="Carlito"/>
                <w:sz w:val="16"/>
                <w:szCs w:val="16"/>
              </w:rPr>
              <w:t>Conteúdo da Embalagem -18L, Categoria – Premium, Superfície – P</w:t>
            </w:r>
            <w:r>
              <w:rPr>
                <w:rFonts w:ascii="Carlito" w:hAnsi="Carlito"/>
                <w:sz w:val="16"/>
                <w:szCs w:val="16"/>
              </w:rPr>
              <w:t>AREDE</w:t>
            </w:r>
            <w:r>
              <w:rPr>
                <w:rFonts w:ascii="Carlito" w:hAnsi="Carlito"/>
                <w:sz w:val="16"/>
                <w:szCs w:val="16"/>
              </w:rPr>
              <w:t xml:space="preserve">, Diluição - Até 20%, Diluir -com Água, </w:t>
            </w:r>
            <w:r>
              <w:rPr>
                <w:rFonts w:ascii="Carlito" w:hAnsi="Carlito"/>
                <w:sz w:val="16"/>
                <w:szCs w:val="16"/>
              </w:rPr>
              <w:t>A</w:t>
            </w:r>
            <w:r>
              <w:rPr>
                <w:rFonts w:ascii="Carlito" w:hAnsi="Carlito"/>
                <w:sz w:val="16"/>
                <w:szCs w:val="16"/>
              </w:rPr>
              <w:t xml:space="preserve">cabamento – Fosco, Rendimento Até 380m² por demão, Ferramentas Indicadas - Trincha ou rolo de lã, </w:t>
            </w:r>
            <w:r>
              <w:rPr>
                <w:rFonts w:ascii="Carlito" w:hAnsi="Carlito"/>
                <w:sz w:val="16"/>
                <w:szCs w:val="16"/>
              </w:rPr>
              <w:t>T</w:t>
            </w:r>
            <w:r>
              <w:rPr>
                <w:rFonts w:ascii="Carlito" w:hAnsi="Carlito"/>
                <w:sz w:val="16"/>
                <w:szCs w:val="16"/>
              </w:rPr>
              <w:t>empo de Secagem - Toque 2 hr</w:t>
            </w:r>
            <w:r>
              <w:rPr>
                <w:rFonts w:ascii="Carlito" w:hAnsi="Carlito"/>
                <w:sz w:val="16"/>
                <w:szCs w:val="16"/>
              </w:rPr>
              <w:t>s</w:t>
            </w:r>
            <w:r>
              <w:rPr>
                <w:rFonts w:ascii="Carlito" w:hAnsi="Carlito"/>
                <w:sz w:val="16"/>
                <w:szCs w:val="16"/>
              </w:rPr>
              <w:t>/ Final 72h</w:t>
            </w:r>
            <w:r>
              <w:rPr>
                <w:rFonts w:ascii="Carlito" w:hAnsi="Carlito"/>
                <w:sz w:val="16"/>
                <w:szCs w:val="16"/>
              </w:rPr>
              <w:t>rs, Q</w:t>
            </w:r>
            <w:r>
              <w:rPr>
                <w:rFonts w:ascii="Carlito" w:hAnsi="Carlito"/>
                <w:sz w:val="16"/>
                <w:szCs w:val="16"/>
              </w:rPr>
              <w:t xml:space="preserve">uantidade de Demãos - De 2 a 3 demãos, Área Indicada - Interior e Exterior, Nível de Odor – Médio, Lavável – Sim. </w:t>
            </w:r>
            <w:r>
              <w:rPr>
                <w:rFonts w:ascii="Carlito" w:hAnsi="Carlito"/>
                <w:sz w:val="16"/>
                <w:szCs w:val="16"/>
              </w:rPr>
              <w:t>(Igual ou similar as marcas SUVINIL ou CORAL RENDE MAIS)</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12745</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253853</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20</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500</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20</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R$ 10.004,00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2</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Extensor de aço 2m (P/ pintura)</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4034</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471090</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5</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41</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86</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R$ 209,30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3</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Cabo rolo 23cm</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4034</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292434</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10</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1</w:t>
            </w:r>
            <w:r>
              <w:rPr>
                <w:rFonts w:eastAsia="Times New Roman" w:cs="Times New Roman" w:ascii="Carlito" w:hAnsi="Carlito"/>
                <w:color w:val="000000"/>
                <w:sz w:val="16"/>
                <w:szCs w:val="16"/>
              </w:rPr>
              <w:t>3</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86</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R$ 138,60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4</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Balde caçamba p/ pintura 11L</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3306</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462374</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1</w:t>
            </w:r>
            <w:r>
              <w:rPr>
                <w:rFonts w:eastAsia="Times New Roman" w:cs="Times New Roman" w:ascii="Carlito" w:hAnsi="Carlito"/>
                <w:color w:val="000000"/>
                <w:sz w:val="16"/>
                <w:szCs w:val="16"/>
              </w:rPr>
              <w:t>0</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58</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00</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R$ 580,00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5</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Espátula 12cm atlas</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1569</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606044</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w:t>
            </w:r>
            <w:r>
              <w:rPr>
                <w:rFonts w:eastAsia="Times New Roman" w:cs="Times New Roman" w:ascii="Carlito" w:hAnsi="Carlito"/>
                <w:color w:val="000000"/>
                <w:sz w:val="16"/>
                <w:szCs w:val="16"/>
              </w:rPr>
              <w:t>0</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22</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50</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R$ 900,00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6</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Gesso cola</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7990</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604867</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KG</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40</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5</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66</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R$ 226,40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7</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Gesso comum</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7990</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256485</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KG</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40</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3</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63</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R$ 145,20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8</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Trincha 2”</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1573</w:t>
            </w:r>
          </w:p>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467559</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30</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10</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50</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R$ 315,00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9</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Trincha 3”</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1573</w:t>
            </w:r>
          </w:p>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466026</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30</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18</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19</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R$ 545,70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c>
          <w:tcPr>
            <w:tcW w:w="6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10</w:t>
            </w:r>
          </w:p>
        </w:tc>
        <w:tc>
          <w:tcPr>
            <w:tcW w:w="15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6"/>
                <w:szCs w:val="16"/>
              </w:rPr>
            </w:pPr>
            <w:r>
              <w:rPr>
                <w:rFonts w:ascii="Carlito" w:hAnsi="Carlito"/>
                <w:sz w:val="16"/>
                <w:szCs w:val="16"/>
              </w:rPr>
              <w:t>Óculos de proteção incolor</w:t>
            </w:r>
          </w:p>
        </w:tc>
        <w:tc>
          <w:tcPr>
            <w:tcW w:w="8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1377</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601715</w:t>
            </w:r>
          </w:p>
        </w:tc>
        <w:tc>
          <w:tcPr>
            <w:tcW w:w="9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50</w:t>
            </w:r>
          </w:p>
        </w:tc>
        <w:tc>
          <w:tcPr>
            <w:tcW w:w="10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10</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44</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R$ 522,00</w:t>
            </w:r>
          </w:p>
        </w:tc>
        <w:tc>
          <w:tcPr>
            <w:tcW w:w="112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bl>
    <w:p>
      <w:pPr>
        <w:pStyle w:val="Nivel1"/>
        <w:numPr>
          <w:ilvl w:val="0"/>
          <w:numId w:val="0"/>
        </w:numPr>
        <w:ind w:left="716" w:hanging="0"/>
        <w:rPr>
          <w:rFonts w:ascii="Carlito" w:hAnsi="Carlito" w:cs="Arial"/>
          <w:iCs/>
          <w:sz w:val="24"/>
          <w:szCs w:val="24"/>
        </w:rPr>
      </w:pPr>
      <w:r>
        <w:rPr>
          <w:rFonts w:cs="Arial" w:ascii="Carlito" w:hAnsi="Carlito"/>
          <w:iCs/>
          <w:sz w:val="24"/>
          <w:szCs w:val="24"/>
        </w:rPr>
      </w:r>
    </w:p>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ascii="Carlito" w:hAnsi="Carlito"/>
          <w:i w:val="false"/>
          <w:iCs w:val="false"/>
          <w:sz w:val="24"/>
          <w:szCs w:val="24"/>
        </w:rPr>
        <w:t xml:space="preserve">O custo estimado total da aquisição é de </w:t>
      </w:r>
      <w:r>
        <w:rPr>
          <w:rFonts w:eastAsia="Times New Roman" w:cs="Times New Roman" w:ascii="Carlito" w:hAnsi="Carlito"/>
          <w:i w:val="false"/>
          <w:iCs w:val="false"/>
          <w:color w:val="000000"/>
          <w:sz w:val="24"/>
          <w:szCs w:val="24"/>
        </w:rPr>
        <w:t>R$</w:t>
      </w:r>
      <w:r>
        <w:rPr>
          <w:rFonts w:eastAsia="Times New Roman" w:cs="Times New Roman"/>
          <w:i w:val="false"/>
          <w:iCs w:val="false"/>
          <w:color w:val="000000"/>
          <w:sz w:val="24"/>
          <w:szCs w:val="24"/>
        </w:rPr>
        <w:t>1</w:t>
      </w:r>
      <w:r>
        <w:rPr>
          <w:rFonts w:eastAsia="Times New Roman" w:cs="Times New Roman"/>
          <w:i w:val="false"/>
          <w:iCs w:val="false"/>
          <w:color w:val="000000"/>
          <w:sz w:val="24"/>
          <w:szCs w:val="24"/>
        </w:rPr>
        <w:t>5</w:t>
      </w:r>
      <w:r>
        <w:rPr>
          <w:rFonts w:eastAsia="Times New Roman" w:cs="Times New Roman"/>
          <w:i w:val="false"/>
          <w:iCs w:val="false"/>
          <w:color w:val="000000"/>
          <w:sz w:val="24"/>
          <w:szCs w:val="24"/>
        </w:rPr>
        <w:t>.</w:t>
      </w:r>
      <w:r>
        <w:rPr>
          <w:rFonts w:eastAsia="Times New Roman" w:cs="Times New Roman"/>
          <w:i w:val="false"/>
          <w:iCs w:val="false"/>
          <w:color w:val="000000"/>
          <w:sz w:val="24"/>
          <w:szCs w:val="24"/>
        </w:rPr>
        <w:t>166</w:t>
      </w:r>
      <w:r>
        <w:rPr>
          <w:rFonts w:eastAsia="Times New Roman" w:cs="Times New Roman"/>
          <w:i w:val="false"/>
          <w:iCs w:val="false"/>
          <w:color w:val="000000"/>
          <w:sz w:val="24"/>
          <w:szCs w:val="24"/>
        </w:rPr>
        <w:t>,</w:t>
      </w:r>
      <w:r>
        <w:rPr>
          <w:rFonts w:eastAsia="Times New Roman" w:cs="Times New Roman"/>
          <w:i w:val="false"/>
          <w:iCs w:val="false"/>
          <w:color w:val="000000"/>
          <w:sz w:val="24"/>
          <w:szCs w:val="24"/>
        </w:rPr>
        <w:t>20</w:t>
      </w:r>
      <w:r>
        <w:rPr>
          <w:rFonts w:eastAsia="Times New Roman" w:cs="Arial" w:ascii="Carlito" w:hAnsi="Carlito"/>
          <w:i w:val="false"/>
          <w:iCs w:val="false"/>
          <w:color w:val="000000"/>
          <w:kern w:val="0"/>
          <w:sz w:val="24"/>
          <w:szCs w:val="24"/>
          <w:lang w:val="pt-BR" w:eastAsia="pt-BR" w:bidi="ar-SA"/>
        </w:rPr>
        <w:t xml:space="preserve"> </w:t>
      </w:r>
      <w:r>
        <w:rPr>
          <w:rFonts w:cs="Arial" w:ascii="Carlito" w:hAnsi="Carlito"/>
          <w:i w:val="false"/>
          <w:iCs w:val="false"/>
          <w:color w:val="000000"/>
          <w:sz w:val="24"/>
          <w:szCs w:val="24"/>
        </w:rPr>
        <w:t>(</w:t>
      </w:r>
      <w:r>
        <w:rPr>
          <w:rFonts w:cs="Arial" w:ascii="Carlito" w:hAnsi="Carlito"/>
          <w:i w:val="false"/>
          <w:iCs w:val="false"/>
          <w:color w:val="000000"/>
          <w:sz w:val="24"/>
          <w:szCs w:val="24"/>
        </w:rPr>
        <w:t>Quinze mil cento e sessenta e seis reais e vinte</w:t>
      </w:r>
      <w:r>
        <w:rPr>
          <w:rFonts w:eastAsia="Times New Roman" w:cs="Arial" w:ascii="Carlito" w:hAnsi="Carlito"/>
          <w:i w:val="false"/>
          <w:iCs w:val="false"/>
          <w:color w:val="000000"/>
          <w:kern w:val="0"/>
          <w:sz w:val="24"/>
          <w:szCs w:val="24"/>
          <w:lang w:val="pt-BR" w:eastAsia="pt-BR" w:bidi="ar-SA"/>
        </w:rPr>
        <w:t xml:space="preserve"> centavos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visando</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manutenção e conservação das instalações do Batalhão </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planeja a aquisição de material</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CellMar>
          <w:top w:w="0" w:type="dxa"/>
          <w:left w:w="453" w:type="dxa"/>
          <w:bottom w:w="0" w:type="dxa"/>
          <w:right w:w="108" w:type="dxa"/>
        </w:tblCellMar>
        <w:tblLook w:noVBand="1" w:val="04a0" w:noHBand="0" w:lastColumn="0" w:firstColumn="1" w:lastRow="0" w:firstRow="1"/>
      </w:tblPr>
      <w:tblGrid>
        <w:gridCol w:w="2149"/>
        <w:gridCol w:w="579"/>
        <w:gridCol w:w="1247"/>
        <w:gridCol w:w="4671"/>
      </w:tblGrid>
      <w:tr>
        <w:trPr/>
        <w:tc>
          <w:tcPr>
            <w:tcW w:w="214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xml:space="preserve">I = </w:t>
            </w:r>
          </w:p>
        </w:tc>
        <w:tc>
          <w:tcPr>
            <w:tcW w:w="1247" w:type="dxa"/>
            <w:tcBorders>
              <w:top w:val="nil"/>
              <w:left w:val="nil"/>
              <w:right w:val="nil"/>
              <w:insideV w:val="nil"/>
            </w:tcBorders>
            <w:shd w:fill="auto" w:val="clear"/>
          </w:tcPr>
          <w:p>
            <w:pPr>
              <w:pStyle w:val="Normal"/>
              <w:widowControl w:val="false"/>
              <w:tabs>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insideH w:val="nil"/>
              <w:insideV w:val="nil"/>
            </w:tcBorders>
            <w:shd w:fill="auto" w:val="clear"/>
            <w:vAlign w:val="center"/>
          </w:tcPr>
          <w:p>
            <w:pPr>
              <w:pStyle w:val="Normal"/>
              <w:widowControl w:val="false"/>
              <w:tabs>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widowControl w:val="false"/>
              <w:tabs>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tru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tru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rPr>
        <w:t xml:space="preserve">R$ </w:t>
      </w:r>
      <w:r>
        <w:rPr>
          <w:rFonts w:eastAsia="Times New Roman" w:cs="Times New Roman"/>
          <w:b w:val="false"/>
          <w:bCs w:val="false"/>
          <w:i w:val="false"/>
          <w:iCs w:val="false"/>
          <w:color w:val="000000"/>
          <w:sz w:val="24"/>
          <w:szCs w:val="24"/>
        </w:rPr>
        <w:t>1</w:t>
      </w:r>
      <w:r>
        <w:rPr>
          <w:rFonts w:eastAsia="Times New Roman" w:cs="Times New Roman"/>
          <w:b w:val="false"/>
          <w:bCs w:val="false"/>
          <w:i w:val="false"/>
          <w:iCs w:val="false"/>
          <w:color w:val="000000"/>
          <w:sz w:val="24"/>
          <w:szCs w:val="24"/>
        </w:rPr>
        <w:t>5</w:t>
      </w:r>
      <w:r>
        <w:rPr>
          <w:rFonts w:eastAsia="Times New Roman" w:cs="Times New Roman"/>
          <w:b w:val="false"/>
          <w:bCs w:val="false"/>
          <w:i w:val="false"/>
          <w:iCs w:val="false"/>
          <w:color w:val="000000"/>
          <w:sz w:val="24"/>
          <w:szCs w:val="24"/>
        </w:rPr>
        <w:t>.</w:t>
      </w:r>
      <w:r>
        <w:rPr>
          <w:rFonts w:eastAsia="Times New Roman" w:cs="Times New Roman"/>
          <w:b w:val="false"/>
          <w:bCs w:val="false"/>
          <w:i w:val="false"/>
          <w:iCs w:val="false"/>
          <w:color w:val="000000"/>
          <w:sz w:val="24"/>
          <w:szCs w:val="24"/>
        </w:rPr>
        <w:t>166</w:t>
      </w:r>
      <w:r>
        <w:rPr>
          <w:rFonts w:eastAsia="Times New Roman" w:cs="Times New Roman"/>
          <w:b w:val="false"/>
          <w:bCs w:val="false"/>
          <w:i w:val="false"/>
          <w:iCs w:val="false"/>
          <w:color w:val="000000"/>
          <w:sz w:val="24"/>
          <w:szCs w:val="24"/>
        </w:rPr>
        <w:t>,</w:t>
      </w:r>
      <w:r>
        <w:rPr>
          <w:rFonts w:eastAsia="Times New Roman" w:cs="Times New Roman"/>
          <w:b w:val="false"/>
          <w:bCs w:val="false"/>
          <w:i w:val="false"/>
          <w:iCs w:val="false"/>
          <w:color w:val="000000"/>
          <w:sz w:val="24"/>
          <w:szCs w:val="24"/>
        </w:rPr>
        <w:t>20</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OBRA</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b/>
          <w:b/>
          <w:bCs/>
          <w:color w:val="000000"/>
          <w:sz w:val="24"/>
          <w:szCs w:val="24"/>
        </w:rPr>
      </w:pPr>
      <w:r>
        <w:rPr>
          <w:rFonts w:ascii="Carlito" w:hAnsi="Carlito"/>
          <w:b w:val="false"/>
          <w:bCs w:val="false"/>
          <w:i w:val="false"/>
          <w:strike w:val="false"/>
          <w:dstrike w:val="false"/>
          <w:outline w:val="false"/>
          <w:shadow w:val="false"/>
          <w:color w:val="000000"/>
          <w:kern w:val="2"/>
          <w:sz w:val="24"/>
          <w:szCs w:val="24"/>
          <w:u w:val="none"/>
          <w:em w:val="none"/>
        </w:rPr>
        <w:t xml:space="preserve">EMERSON </w:t>
      </w:r>
      <w:r>
        <w:rPr>
          <w:rFonts w:ascii="Carlito" w:hAnsi="Carlito"/>
          <w:b/>
          <w:bCs/>
          <w:i w:val="false"/>
          <w:strike w:val="false"/>
          <w:dstrike w:val="false"/>
          <w:outline w:val="false"/>
          <w:shadow w:val="false"/>
          <w:color w:val="000000"/>
          <w:kern w:val="2"/>
          <w:sz w:val="24"/>
          <w:szCs w:val="24"/>
          <w:u w:val="none"/>
          <w:em w:val="none"/>
        </w:rPr>
        <w:t>DE SANTANA</w:t>
      </w:r>
      <w:r>
        <w:rPr>
          <w:rFonts w:ascii="Carlito" w:hAnsi="Carlito"/>
          <w:b w:val="false"/>
          <w:bCs w:val="false"/>
          <w:i w:val="false"/>
          <w:strike w:val="false"/>
          <w:dstrike w:val="false"/>
          <w:outline w:val="false"/>
          <w:shadow w:val="false"/>
          <w:color w:val="000000"/>
          <w:kern w:val="2"/>
          <w:sz w:val="24"/>
          <w:szCs w:val="24"/>
          <w:u w:val="none"/>
          <w:em w:val="none"/>
        </w:rPr>
        <w:t xml:space="preserve"> SOARES</w:t>
      </w:r>
    </w:p>
    <w:p>
      <w:pPr>
        <w:pStyle w:val="Calibri"/>
        <w:rPr/>
      </w:pPr>
      <w:r>
        <w:rPr>
          <w:rFonts w:eastAsia="Times New Roman" w:cs="Times New Roman" w:ascii="Carlito" w:hAnsi="Carlito"/>
          <w:color w:val="000000"/>
          <w:sz w:val="24"/>
          <w:szCs w:val="24"/>
        </w:rPr>
        <w:t>2° SG FN CN</w:t>
      </w:r>
    </w:p>
    <w:p>
      <w:pPr>
        <w:pStyle w:val="Normal"/>
        <w:jc w:val="center"/>
        <w:rPr>
          <w:rFonts w:ascii="Carlito" w:hAnsi="Carlito" w:eastAsia="Times New Roman" w:cs="Times New Roman"/>
          <w:color w:val="000000"/>
          <w:sz w:val="24"/>
          <w:szCs w:val="24"/>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Encarregado da Refrigeração</w:t>
      </w:r>
    </w:p>
    <w:p>
      <w:pPr>
        <w:pStyle w:val="Normal"/>
        <w:widowControl/>
        <w:tabs>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jc w:val="center"/>
        <w:rPr>
          <w:rFonts w:ascii="Carlito" w:hAnsi="Carlito"/>
          <w:sz w:val="24"/>
          <w:szCs w:val="24"/>
        </w:rPr>
      </w:pPr>
      <w:r>
        <w:rPr>
          <w:rFonts w:eastAsia="Times New Roman" w:cs="Arial" w:ascii="Carlito" w:hAnsi="Carlito"/>
          <w:b/>
          <w:bCs/>
          <w:iCs/>
          <w:color w:val="000000"/>
          <w:sz w:val="24"/>
          <w:szCs w:val="24"/>
        </w:rPr>
        <w:t>ARISTONE</w:t>
      </w:r>
      <w:r>
        <w:rPr>
          <w:rFonts w:eastAsia="Times New Roman" w:cs="Arial" w:ascii="Carlito" w:hAnsi="Carlito"/>
          <w:b w:val="false"/>
          <w:bCs w:val="false"/>
          <w:iCs/>
          <w:color w:val="000000"/>
          <w:sz w:val="24"/>
          <w:szCs w:val="24"/>
        </w:rPr>
        <w:t xml:space="preserve"> LEAL MOURA</w:t>
      </w:r>
    </w:p>
    <w:p>
      <w:pPr>
        <w:pStyle w:val="Normal"/>
        <w:spacing w:lineRule="auto" w:line="240" w:before="0" w:after="0"/>
        <w:jc w:val="center"/>
        <w:rPr>
          <w:rFonts w:ascii="Carlito" w:hAnsi="Carlito"/>
          <w:sz w:val="24"/>
          <w:szCs w:val="24"/>
        </w:rPr>
      </w:pPr>
      <w:r>
        <w:rPr>
          <w:rFonts w:ascii="Carlito" w:hAnsi="Carlito"/>
          <w:b w:val="false"/>
          <w:bCs w:val="false"/>
          <w:sz w:val="24"/>
          <w:szCs w:val="24"/>
        </w:rPr>
        <w:t>CMG (FN)</w:t>
      </w:r>
    </w:p>
    <w:p>
      <w:pPr>
        <w:pStyle w:val="Normal"/>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p>
      <w:pPr>
        <w:pStyle w:val="Normal"/>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Carlito">
    <w:altName w:val="Calibri"/>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Carlito" w:hAnsi="Carlito"/>
        <w:color w:val="00000A"/>
      </w:rPr>
    </w:lvl>
    <w:lvl w:ilvl="1">
      <w:start w:val="1"/>
      <w:numFmt w:val="decimal"/>
      <w:lvlText w:val="%1.%2."/>
      <w:lvlJc w:val="left"/>
      <w:pPr>
        <w:ind w:left="716" w:hanging="432"/>
      </w:pPr>
      <w:rPr>
        <w:dstrike w:val="false"/>
        <w:strike w:val="false"/>
        <w:sz w:val="24"/>
        <w:i w:val="false"/>
        <w:b/>
        <w:bCs/>
        <w:rFonts w:ascii="Carlito" w:hAnsi="Carlito"/>
        <w:color w:val="00000A"/>
      </w:rPr>
    </w:lvl>
    <w:lvl w:ilvl="2">
      <w:start w:val="1"/>
      <w:numFmt w:val="decimal"/>
      <w:lvlText w:val="%1.%2.%3."/>
      <w:lvlJc w:val="left"/>
      <w:pPr>
        <w:ind w:left="930" w:hanging="504"/>
      </w:pPr>
      <w:rPr>
        <w:sz w:val="24"/>
        <w:i w:val="false"/>
        <w:b/>
        <w:rFonts w:ascii="Carlito" w:hAnsi="Carlito"/>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character" w:styleId="ListLabel1">
    <w:name w:val="ListLabel 1"/>
    <w:qFormat/>
    <w:rPr>
      <w:rFonts w:ascii="Carlito" w:hAnsi="Carlito"/>
      <w:b/>
      <w:color w:val="00000A"/>
      <w:sz w:val="24"/>
    </w:rPr>
  </w:style>
  <w:style w:type="character" w:styleId="ListLabel2">
    <w:name w:val="ListLabel 2"/>
    <w:qFormat/>
    <w:rPr>
      <w:rFonts w:ascii="Carlito" w:hAnsi="Carlito"/>
      <w:b/>
      <w:bCs/>
      <w:i w:val="false"/>
      <w:strike w:val="false"/>
      <w:dstrike w:val="false"/>
      <w:color w:val="00000A"/>
      <w:sz w:val="24"/>
    </w:rPr>
  </w:style>
  <w:style w:type="character" w:styleId="ListLabel3">
    <w:name w:val="ListLabel 3"/>
    <w:qFormat/>
    <w:rPr>
      <w:rFonts w:ascii="Carlito" w:hAnsi="Carlito"/>
      <w:b/>
      <w:i w:val="false"/>
      <w:color w:val="00000A"/>
      <w:sz w:val="24"/>
    </w:rPr>
  </w:style>
  <w:style w:type="paragraph" w:styleId="Ttulo">
    <w:name w:val="Título"/>
    <w:basedOn w:val="Normal"/>
    <w:next w:val="Corpodetexto"/>
    <w:qFormat/>
    <w:pPr>
      <w:keepNext w:val="true"/>
      <w:spacing w:before="240" w:after="120"/>
    </w:pPr>
    <w:rPr>
      <w:rFonts w:ascii="Liberation Sans" w:hAnsi="Liberation Sans" w:eastAsia="Noto Sans CJK SC Regular" w:cs="Free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enter" w:pos="4819" w:leader="none"/>
        <w:tab w:val="right" w:pos="9638" w:leader="none"/>
      </w:tabs>
    </w:pPr>
    <w:rPr/>
  </w:style>
  <w:style w:type="paragraph" w:styleId="Cabealho">
    <w:name w:val="Header"/>
    <w:basedOn w:val="Normal"/>
    <w:link w:val="CabealhoChar"/>
    <w:unhideWhenUsed/>
    <w:rsid w:val="00a3644b"/>
    <w:pPr>
      <w:tabs>
        <w:tab w:val="center" w:pos="4252" w:leader="none"/>
        <w:tab w:val="right" w:pos="8504" w:leader="none"/>
      </w:tabs>
    </w:pPr>
    <w:rPr/>
  </w:style>
  <w:style w:type="paragraph" w:styleId="Rodap">
    <w:name w:val="Footer"/>
    <w:basedOn w:val="Normal"/>
    <w:link w:val="RodapChar"/>
    <w:uiPriority w:val="99"/>
    <w:unhideWhenUsed/>
    <w:rsid w:val="00a3644b"/>
    <w:pPr>
      <w:tabs>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left" w:pos="360" w:leader="none"/>
      </w:tabs>
      <w:ind w:left="644" w:hanging="432"/>
    </w:pPr>
    <w:rPr>
      <w:rFonts w:cs="Arial"/>
      <w:b/>
    </w:rPr>
  </w:style>
  <w:style w:type="paragraph" w:styleId="Nivel3" w:customStyle="1">
    <w:name w:val="Nivel 3"/>
    <w:basedOn w:val="Nivel2"/>
    <w:qFormat/>
    <w:rsid w:val="00210b85"/>
    <w:pPr>
      <w:tabs>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1328</TotalTime>
  <Application>LibreOffice/6.0.7.3$Linux_X86_64 LibreOffice_project/00m0$Build-3</Application>
  <Pages>8</Pages>
  <Words>1814</Words>
  <Characters>9898</Characters>
  <CharactersWithSpaces>11564</CharactersWithSpaces>
  <Paragraphs>197</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2023-03-06T15:22:04Z</cp:lastPrinted>
  <dcterms:modified xsi:type="dcterms:W3CDTF">2023-06-05T15:21:57Z</dcterms:modified>
  <cp:revision>165</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